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69D88F" w14:textId="3C43AC87" w:rsidR="004E5955" w:rsidRDefault="006A3587" w:rsidP="00FD18BB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4B0FCC" wp14:editId="73EABBB1">
                <wp:simplePos x="0" y="0"/>
                <wp:positionH relativeFrom="column">
                  <wp:posOffset>-154305</wp:posOffset>
                </wp:positionH>
                <wp:positionV relativeFrom="paragraph">
                  <wp:posOffset>548640</wp:posOffset>
                </wp:positionV>
                <wp:extent cx="6972300" cy="68834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899F1BC" w14:textId="2975A36E" w:rsidR="005C22AC" w:rsidRPr="009B7EAF" w:rsidRDefault="005C22AC" w:rsidP="00F12BAE">
                            <w:pPr>
                              <w:pStyle w:val="INTRO"/>
                              <w:tabs>
                                <w:tab w:val="left" w:pos="6840"/>
                              </w:tabs>
                            </w:pPr>
                            <w:r w:rsidRPr="00845108">
                              <w:rPr>
                                <w:rFonts w:eastAsia="Times New Roman"/>
                                <w:color w:val="000000"/>
                              </w:rPr>
                              <w:t>This checklist will help guide your actions in protecting critical IT and telecommunications equipment. It includes a list of recommended ta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sks to be completed during the p</w:t>
                            </w:r>
                            <w:r w:rsidRPr="00845108">
                              <w:rPr>
                                <w:rFonts w:eastAsia="Times New Roman"/>
                                <w:color w:val="000000"/>
                              </w:rPr>
                              <w:t xml:space="preserve">lanning </w:t>
                            </w: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p</w:t>
                            </w:r>
                            <w:r w:rsidRPr="00845108">
                              <w:rPr>
                                <w:rFonts w:eastAsia="Times New Roman"/>
                                <w:color w:val="000000"/>
                              </w:rPr>
                              <w:t>hase, well ahead of a disaster. Customize the tasks to fit the needs of your organization.</w:t>
                            </w:r>
                          </w:p>
                          <w:p w14:paraId="051187E0" w14:textId="046DA0A0" w:rsidR="005C22AC" w:rsidRPr="00C96F98" w:rsidRDefault="005C22AC" w:rsidP="005F365E">
                            <w:pPr>
                              <w:pStyle w:val="INTR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B0FC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15pt;margin-top:43.2pt;width:549pt;height:5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" filled="f" stroked="f">
                <v:textbox>
                  <w:txbxContent>
                    <w:p w14:paraId="3899F1BC" w14:textId="2975A36E" w:rsidR="005C22AC" w:rsidRPr="009B7EAF" w:rsidRDefault="005C22AC" w:rsidP="00F12BAE">
                      <w:pPr>
                        <w:pStyle w:val="INTRO"/>
                        <w:tabs>
                          <w:tab w:val="left" w:pos="6840"/>
                        </w:tabs>
                      </w:pPr>
                      <w:r w:rsidRPr="00845108">
                        <w:rPr>
                          <w:rFonts w:eastAsia="Times New Roman"/>
                          <w:color w:val="000000"/>
                        </w:rPr>
                        <w:t>This checklist will help guide your actions in protecting critical IT and telecommunications equipment. It includes a list of recommended ta</w:t>
                      </w:r>
                      <w:r>
                        <w:rPr>
                          <w:rFonts w:eastAsia="Times New Roman"/>
                          <w:color w:val="000000"/>
                        </w:rPr>
                        <w:t>sks to be completed during the p</w:t>
                      </w:r>
                      <w:r w:rsidRPr="00845108">
                        <w:rPr>
                          <w:rFonts w:eastAsia="Times New Roman"/>
                          <w:color w:val="000000"/>
                        </w:rPr>
                        <w:t xml:space="preserve">lanning </w:t>
                      </w:r>
                      <w:r>
                        <w:rPr>
                          <w:rFonts w:eastAsia="Times New Roman"/>
                          <w:color w:val="000000"/>
                        </w:rPr>
                        <w:t>p</w:t>
                      </w:r>
                      <w:r w:rsidRPr="00845108">
                        <w:rPr>
                          <w:rFonts w:eastAsia="Times New Roman"/>
                          <w:color w:val="000000"/>
                        </w:rPr>
                        <w:t>hase, well ahead of a disaster. Customize the tasks to fit the needs of your organization.</w:t>
                      </w:r>
                    </w:p>
                    <w:p w14:paraId="051187E0" w14:textId="046DA0A0" w:rsidR="005C22AC" w:rsidRPr="00C96F98" w:rsidRDefault="005C22AC" w:rsidP="005F365E">
                      <w:pPr>
                        <w:pStyle w:val="INTR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2964" w:rsidRPr="00DF49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0E2F80" wp14:editId="431DF26A">
                <wp:simplePos x="0" y="0"/>
                <wp:positionH relativeFrom="page">
                  <wp:posOffset>457200</wp:posOffset>
                </wp:positionH>
                <wp:positionV relativeFrom="page">
                  <wp:posOffset>320040</wp:posOffset>
                </wp:positionV>
                <wp:extent cx="7338060" cy="1028700"/>
                <wp:effectExtent l="0" t="0" r="0" b="12700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806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73DD02" w14:textId="77777777" w:rsidR="005C22AC" w:rsidRPr="00794BC0" w:rsidRDefault="005C22AC" w:rsidP="00E05FA9">
                            <w:pPr>
                              <w:pStyle w:val="NoParagraphStyle"/>
                              <w:ind w:left="806" w:firstLine="720"/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</w:pPr>
                            <w:r w:rsidRPr="00794BC0">
                              <w:rPr>
                                <w:rFonts w:ascii="Arial" w:hAnsi="Arial" w:cs="Arial"/>
                                <w:b/>
                                <w:color w:val="66A236" w:themeColor="accent4"/>
                                <w:sz w:val="20"/>
                                <w:szCs w:val="20"/>
                              </w:rPr>
                              <w:t>READY TO RESPOND</w:t>
                            </w:r>
                            <w:r w:rsidRPr="00794BC0">
                              <w:rPr>
                                <w:rFonts w:ascii="Arial" w:hAnsi="Arial" w:cs="Arial"/>
                                <w:color w:val="66A236" w:themeColor="accent4"/>
                                <w:sz w:val="20"/>
                                <w:szCs w:val="20"/>
                              </w:rPr>
                              <w:t xml:space="preserve"> DISASTER STAFFING TOOLKIT</w:t>
                            </w:r>
                          </w:p>
                          <w:p w14:paraId="6381EE24" w14:textId="21CE5185" w:rsidR="005C22AC" w:rsidRDefault="005C22AC" w:rsidP="004E0A8F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>IT</w:t>
                            </w:r>
                            <w:r w:rsidRPr="00004882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Continuity </w:t>
                            </w:r>
                          </w:p>
                          <w:p w14:paraId="0A99C375" w14:textId="77777777" w:rsidR="005C22AC" w:rsidRPr="00004882" w:rsidRDefault="005C22AC" w:rsidP="004E0A8F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  <w:r w:rsidRPr="00004882">
                              <w:rPr>
                                <w:b w:val="0"/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Checklist </w:t>
                            </w:r>
                            <w:r w:rsidRPr="00004882"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  <w:t xml:space="preserve"> </w:t>
                            </w:r>
                          </w:p>
                          <w:p w14:paraId="14F27869" w14:textId="57E4118B" w:rsidR="005C22AC" w:rsidRPr="00794BC0" w:rsidRDefault="005C22AC" w:rsidP="004E0A8F">
                            <w:pPr>
                              <w:pStyle w:val="BIGHEAD"/>
                              <w:spacing w:line="600" w:lineRule="exact"/>
                              <w:rPr>
                                <w:color w:val="66A236" w:themeColor="accent4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E2F80" id="Text Box 39" o:spid="_x0000_s1027" type="#_x0000_t202" style="position:absolute;margin-left:36pt;margin-top:25.2pt;width:577.8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" filled="f" stroked="f">
                <v:textbox>
                  <w:txbxContent>
                    <w:p w14:paraId="4173DD02" w14:textId="77777777" w:rsidR="005C22AC" w:rsidRPr="00794BC0" w:rsidRDefault="005C22AC" w:rsidP="00E05FA9">
                      <w:pPr>
                        <w:pStyle w:val="NoParagraphStyle"/>
                        <w:ind w:left="806" w:firstLine="720"/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</w:pPr>
                      <w:r w:rsidRPr="00794BC0">
                        <w:rPr>
                          <w:rFonts w:ascii="Arial" w:hAnsi="Arial" w:cs="Arial"/>
                          <w:b/>
                          <w:color w:val="66A236" w:themeColor="accent4"/>
                          <w:sz w:val="20"/>
                          <w:szCs w:val="20"/>
                        </w:rPr>
                        <w:t>READY TO RESPOND</w:t>
                      </w:r>
                      <w:r w:rsidRPr="00794BC0">
                        <w:rPr>
                          <w:rFonts w:ascii="Arial" w:hAnsi="Arial" w:cs="Arial"/>
                          <w:color w:val="66A236" w:themeColor="accent4"/>
                          <w:sz w:val="20"/>
                          <w:szCs w:val="20"/>
                        </w:rPr>
                        <w:t xml:space="preserve"> DISASTER STAFFING TOOLKIT</w:t>
                      </w:r>
                    </w:p>
                    <w:p w14:paraId="6381EE24" w14:textId="21CE5185" w:rsidR="005C22AC" w:rsidRDefault="005C22AC" w:rsidP="004E0A8F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>
                        <w:rPr>
                          <w:color w:val="66A236" w:themeColor="accent4"/>
                          <w:sz w:val="60"/>
                          <w:szCs w:val="60"/>
                        </w:rPr>
                        <w:t>IT</w:t>
                      </w:r>
                      <w:r w:rsidRPr="00004882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Continuity </w:t>
                      </w:r>
                    </w:p>
                    <w:p w14:paraId="0A99C375" w14:textId="77777777" w:rsidR="005C22AC" w:rsidRPr="00004882" w:rsidRDefault="005C22AC" w:rsidP="004E0A8F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  <w:r w:rsidRPr="00004882">
                        <w:rPr>
                          <w:b w:val="0"/>
                          <w:color w:val="66A236" w:themeColor="accent4"/>
                          <w:sz w:val="60"/>
                          <w:szCs w:val="60"/>
                        </w:rPr>
                        <w:t xml:space="preserve">Checklist </w:t>
                      </w:r>
                      <w:r w:rsidRPr="00004882">
                        <w:rPr>
                          <w:color w:val="66A236" w:themeColor="accent4"/>
                          <w:sz w:val="60"/>
                          <w:szCs w:val="60"/>
                        </w:rPr>
                        <w:t xml:space="preserve"> </w:t>
                      </w:r>
                    </w:p>
                    <w:p w14:paraId="14F27869" w14:textId="57E4118B" w:rsidR="005C22AC" w:rsidRPr="00794BC0" w:rsidRDefault="005C22AC" w:rsidP="004E0A8F">
                      <w:pPr>
                        <w:pStyle w:val="BIGHEAD"/>
                        <w:spacing w:line="600" w:lineRule="exact"/>
                        <w:rPr>
                          <w:color w:val="66A236" w:themeColor="accent4"/>
                          <w:sz w:val="60"/>
                          <w:szCs w:val="6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2964" w:rsidRPr="00DF498D"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31519C4C" wp14:editId="35C28251">
                <wp:simplePos x="0" y="0"/>
                <wp:positionH relativeFrom="page">
                  <wp:posOffset>457200</wp:posOffset>
                </wp:positionH>
                <wp:positionV relativeFrom="page">
                  <wp:posOffset>1488440</wp:posOffset>
                </wp:positionV>
                <wp:extent cx="6858000" cy="0"/>
                <wp:effectExtent l="0" t="25400" r="25400" b="50800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E1298A" id="Straight Connector 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36pt,117.2pt" to="8in,1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" strokecolor="#66a236 [3207]" strokeweight="6pt">
                <w10:wrap anchorx="page" anchory="page"/>
              </v:line>
            </w:pict>
          </mc:Fallback>
        </mc:AlternateContent>
      </w:r>
    </w:p>
    <w:p w14:paraId="499FA0E3" w14:textId="7ECA8D4A" w:rsidR="00647930" w:rsidRPr="00F12BAE" w:rsidRDefault="004E0A8F" w:rsidP="00F82374">
      <w:pPr>
        <w:pStyle w:val="INTRO"/>
        <w:spacing w:line="280" w:lineRule="exact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C6ED33F" wp14:editId="32AACFC9">
            <wp:simplePos x="0" y="0"/>
            <wp:positionH relativeFrom="page">
              <wp:posOffset>457200</wp:posOffset>
            </wp:positionH>
            <wp:positionV relativeFrom="page">
              <wp:posOffset>345440</wp:posOffset>
            </wp:positionV>
            <wp:extent cx="914400" cy="9144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40B">
        <w:rPr>
          <w:sz w:val="20"/>
          <w:szCs w:val="20"/>
          <w:lang w:eastAsia="ja-JP"/>
        </w:rPr>
        <w:tab/>
      </w:r>
      <w:r w:rsidR="006E6C3D">
        <w:rPr>
          <w:sz w:val="20"/>
          <w:szCs w:val="20"/>
          <w:lang w:eastAsia="ja-JP"/>
        </w:rPr>
        <w:tab/>
      </w:r>
    </w:p>
    <w:tbl>
      <w:tblPr>
        <w:tblStyle w:val="TableGrid"/>
        <w:tblW w:w="10823" w:type="dxa"/>
        <w:tblInd w:w="-9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573"/>
        <w:gridCol w:w="2250"/>
      </w:tblGrid>
      <w:tr w:rsidR="008F15A6" w:rsidRPr="006150F1" w14:paraId="4CB03109" w14:textId="77777777" w:rsidTr="00CA1730">
        <w:trPr>
          <w:trHeight w:val="432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  <w:hideMark/>
          </w:tcPr>
          <w:p w14:paraId="4E8E48E3" w14:textId="77777777" w:rsidR="008F15A6" w:rsidRPr="006150F1" w:rsidRDefault="008F15A6" w:rsidP="00647930">
            <w:pPr>
              <w:pStyle w:val="chartbold-little"/>
              <w:rPr>
                <w:rFonts w:cs="Arial"/>
              </w:rPr>
            </w:pPr>
            <w:r>
              <w:t>Tasks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A236" w:themeFill="accent4"/>
            <w:vAlign w:val="center"/>
          </w:tcPr>
          <w:p w14:paraId="77066DD3" w14:textId="438F03C2" w:rsidR="008F15A6" w:rsidRPr="006150F1" w:rsidRDefault="008F15A6" w:rsidP="00647930">
            <w:pPr>
              <w:pStyle w:val="chartbold-little"/>
              <w:rPr>
                <w:rFonts w:cs="Arial"/>
              </w:rPr>
            </w:pPr>
            <w:r>
              <w:rPr>
                <w:rFonts w:cs="Arial"/>
              </w:rPr>
              <w:t>Initial when complete</w:t>
            </w:r>
          </w:p>
        </w:tc>
      </w:tr>
      <w:tr w:rsidR="008F15A6" w:rsidRPr="00251EFF" w14:paraId="1B04B644" w14:textId="77777777" w:rsidTr="00F12BAE">
        <w:trPr>
          <w:trHeight w:val="576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1E9CB" w14:textId="27AC426E" w:rsidR="00F12BAE" w:rsidRPr="00847F85" w:rsidRDefault="00F12BAE" w:rsidP="00F12BAE">
            <w:pPr>
              <w:pStyle w:val="chartbody"/>
            </w:pPr>
            <w:r w:rsidRPr="00847F85">
              <w:t xml:space="preserve">Perform security risk assessments around specific threats </w:t>
            </w:r>
            <w:r w:rsidR="006D1EE0">
              <w:t>including</w:t>
            </w:r>
            <w:r w:rsidRPr="00847F85">
              <w:t xml:space="preserve"> virus protection, intrusi</w:t>
            </w:r>
            <w:r w:rsidR="006D1EE0">
              <w:t>on detection, hacker prevention and</w:t>
            </w:r>
            <w:r w:rsidRPr="00847F85">
              <w:t xml:space="preserve"> network events</w:t>
            </w:r>
            <w:r w:rsidR="006D1EE0">
              <w:t>.</w:t>
            </w:r>
          </w:p>
          <w:p w14:paraId="22A1E86E" w14:textId="4CFB46D9" w:rsidR="00647930" w:rsidRPr="003701EE" w:rsidRDefault="00F12BAE" w:rsidP="00F12BAE">
            <w:pPr>
              <w:pStyle w:val="chartbody"/>
              <w:rPr>
                <w:szCs w:val="22"/>
              </w:rPr>
            </w:pPr>
            <w:r>
              <w:t>If applicable, w</w:t>
            </w:r>
            <w:r w:rsidRPr="00847F85">
              <w:t>ork with IT provider to evaluate the likelihood of events and obtain suggestions for mitigating impacts and threats</w:t>
            </w:r>
            <w:r w:rsidR="005C22AC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E76EA" w14:textId="77777777" w:rsidR="00647930" w:rsidRPr="003701EE" w:rsidRDefault="00647930" w:rsidP="00647930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1F1BFD8E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D11E94" w14:textId="4B461C5A" w:rsidR="00F12BAE" w:rsidRPr="003701EE" w:rsidRDefault="00F12BAE" w:rsidP="005C22AC">
            <w:pPr>
              <w:pStyle w:val="chartbody"/>
              <w:rPr>
                <w:szCs w:val="22"/>
              </w:rPr>
            </w:pPr>
            <w:r w:rsidRPr="00441D89">
              <w:t>Determine communications hardware needed to stay in communication during an event, i</w:t>
            </w:r>
            <w:r w:rsidR="005C22AC">
              <w:t>ncluding satellite</w:t>
            </w:r>
            <w:r w:rsidR="0092570D">
              <w:t xml:space="preserve"> phones and</w:t>
            </w:r>
            <w:r w:rsidR="005C22AC">
              <w:t xml:space="preserve"> walkie-talkies </w:t>
            </w:r>
            <w:r w:rsidRPr="00441D89">
              <w:t>and work with</w:t>
            </w:r>
            <w:r w:rsidR="00A94557">
              <w:t xml:space="preserve"> the</w:t>
            </w:r>
            <w:r w:rsidRPr="00441D89">
              <w:t xml:space="preserve"> </w:t>
            </w:r>
            <w:r w:rsidRPr="00773208">
              <w:rPr>
                <w:b/>
              </w:rPr>
              <w:t>Business Continuity Chief</w:t>
            </w:r>
            <w:r>
              <w:t xml:space="preserve"> to approve </w:t>
            </w:r>
            <w:r w:rsidRPr="00441D89">
              <w:t>purchase.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8EDF5E" w14:textId="78410821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8333DC" w:rsidRPr="00251EFF" w14:paraId="50CED4C5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0D8ED3" w14:textId="5BBA8382" w:rsidR="008333DC" w:rsidRDefault="008333DC" w:rsidP="00780FF2">
            <w:pPr>
              <w:pStyle w:val="chartbody"/>
            </w:pPr>
            <w:r w:rsidRPr="00441D89">
              <w:t xml:space="preserve">Ensure </w:t>
            </w:r>
            <w:r w:rsidR="005C22AC">
              <w:t>that</w:t>
            </w:r>
            <w:r w:rsidR="00780FF2">
              <w:t xml:space="preserve"> </w:t>
            </w:r>
            <w:r w:rsidRPr="00441D89">
              <w:t xml:space="preserve">all </w:t>
            </w:r>
            <w:r w:rsidR="000E0011">
              <w:t>hardware</w:t>
            </w:r>
            <w:r w:rsidRPr="00441D89">
              <w:t xml:space="preserve"> to supp</w:t>
            </w:r>
            <w:r>
              <w:t xml:space="preserve">ort communications with staff </w:t>
            </w:r>
            <w:r w:rsidR="00780FF2">
              <w:t>is in working order</w:t>
            </w:r>
            <w:r w:rsidRPr="00441D89">
              <w:t xml:space="preserve">. Coordinate with </w:t>
            </w:r>
            <w:r w:rsidR="00A94557">
              <w:t xml:space="preserve">the </w:t>
            </w:r>
            <w:r w:rsidRPr="00773208">
              <w:rPr>
                <w:b/>
              </w:rPr>
              <w:t>Business Continuity Chief</w:t>
            </w:r>
            <w:r w:rsidRPr="00441D89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2CF564" w14:textId="77777777" w:rsidR="008333DC" w:rsidRPr="003701EE" w:rsidRDefault="008333DC" w:rsidP="00F12BAE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30492E30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24173" w14:textId="1D53F1C3" w:rsidR="00F12BAE" w:rsidRPr="003701EE" w:rsidRDefault="00780FF2" w:rsidP="00780FF2">
            <w:pPr>
              <w:pStyle w:val="chartbody"/>
              <w:rPr>
                <w:szCs w:val="22"/>
              </w:rPr>
            </w:pPr>
            <w:r>
              <w:t>Add information about</w:t>
            </w:r>
            <w:r w:rsidR="00F12BAE">
              <w:t xml:space="preserve"> </w:t>
            </w:r>
            <w:r>
              <w:t>hardware and software</w:t>
            </w:r>
            <w:r w:rsidR="00F12BAE">
              <w:t xml:space="preserve"> and warranties to </w:t>
            </w:r>
            <w:r w:rsidR="00F12BAE" w:rsidRPr="00D41CFF">
              <w:t>the</w:t>
            </w:r>
            <w:r w:rsidR="005B39DB">
              <w:rPr>
                <w:i/>
              </w:rPr>
              <w:t xml:space="preserve"> IT </w:t>
            </w:r>
            <w:r w:rsidR="00F12BAE" w:rsidRPr="00AC4618">
              <w:rPr>
                <w:i/>
              </w:rPr>
              <w:t>Equipment Inventory Worksheet</w:t>
            </w:r>
            <w:r w:rsidR="00F12BAE">
              <w:t xml:space="preserve"> and send to </w:t>
            </w:r>
            <w:r w:rsidR="00A94557">
              <w:t xml:space="preserve">the </w:t>
            </w:r>
            <w:r w:rsidR="00F12BAE" w:rsidRPr="00D41CFF">
              <w:rPr>
                <w:b/>
              </w:rPr>
              <w:t>Business Continuity Chief</w:t>
            </w:r>
            <w:r w:rsidR="00F12BAE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659D1D" w14:textId="77777777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5126E5A4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A740CB" w14:textId="304A1958" w:rsidR="00F12BAE" w:rsidRPr="003701EE" w:rsidRDefault="00780FF2" w:rsidP="00780FF2">
            <w:pPr>
              <w:pStyle w:val="chartbody"/>
              <w:rPr>
                <w:szCs w:val="22"/>
              </w:rPr>
            </w:pPr>
            <w:r>
              <w:t>If you work</w:t>
            </w:r>
            <w:r w:rsidR="00F12BAE" w:rsidRPr="00847F85">
              <w:t xml:space="preserve"> with </w:t>
            </w:r>
            <w:r>
              <w:t>outside IT vendors, clarify which services will be available during a disaster</w:t>
            </w:r>
            <w:r w:rsidR="00F12BAE" w:rsidRPr="00847F85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D6E23" w14:textId="77777777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359E038D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9665AB" w14:textId="5A1525D9" w:rsidR="00F12BAE" w:rsidRPr="003701EE" w:rsidRDefault="00F12BAE" w:rsidP="00780FF2">
            <w:pPr>
              <w:pStyle w:val="chartbody"/>
              <w:rPr>
                <w:rFonts w:eastAsia="Calibri" w:cs="Arial"/>
                <w:szCs w:val="22"/>
              </w:rPr>
            </w:pPr>
            <w:r>
              <w:rPr>
                <w:rFonts w:cs="Times New Roman"/>
                <w:color w:val="000000"/>
              </w:rPr>
              <w:t xml:space="preserve">Discuss options for </w:t>
            </w:r>
            <w:r w:rsidR="00780FF2">
              <w:rPr>
                <w:rFonts w:cs="Times New Roman"/>
                <w:color w:val="000000"/>
              </w:rPr>
              <w:t>storing equipment off-site with the</w:t>
            </w:r>
            <w:r>
              <w:rPr>
                <w:rFonts w:cs="Times New Roman"/>
                <w:color w:val="000000"/>
              </w:rPr>
              <w:t xml:space="preserve"> </w:t>
            </w:r>
            <w:r w:rsidRPr="008333DC">
              <w:rPr>
                <w:rFonts w:cs="Times New Roman"/>
                <w:b/>
                <w:color w:val="000000"/>
              </w:rPr>
              <w:t>Business Continuity Chief</w:t>
            </w:r>
            <w:r w:rsidR="00780FF2" w:rsidRPr="00847F85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C6FB28" w14:textId="77777777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43481799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E9E1E" w14:textId="7859E133" w:rsidR="00F12BAE" w:rsidRPr="003701EE" w:rsidRDefault="00F12BAE" w:rsidP="00D41CFF">
            <w:pPr>
              <w:pStyle w:val="chartbody"/>
              <w:rPr>
                <w:szCs w:val="22"/>
              </w:rPr>
            </w:pPr>
            <w:r>
              <w:rPr>
                <w:rFonts w:cs="Times New Roman"/>
                <w:color w:val="000000"/>
              </w:rPr>
              <w:t>Set up cloud storage for offsi</w:t>
            </w:r>
            <w:r w:rsidRPr="00143D94">
              <w:t>te</w:t>
            </w:r>
            <w:r>
              <w:rPr>
                <w:rFonts w:cs="Times New Roman"/>
                <w:color w:val="000000"/>
              </w:rPr>
              <w:t xml:space="preserve"> access to </w:t>
            </w:r>
            <w:r w:rsidR="00D41CFF">
              <w:rPr>
                <w:rFonts w:cs="Times New Roman"/>
                <w:color w:val="000000"/>
              </w:rPr>
              <w:t>vital records</w:t>
            </w:r>
            <w:r w:rsidR="00780FF2" w:rsidRPr="00847F85"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4A484" w14:textId="77777777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50B86283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CB9EDA" w14:textId="5AACECFA" w:rsidR="00F12BAE" w:rsidRPr="003701EE" w:rsidRDefault="00F12BAE" w:rsidP="00A94557">
            <w:pPr>
              <w:pStyle w:val="chartbody"/>
              <w:rPr>
                <w:rFonts w:eastAsia="Calibri" w:cs="Arial"/>
                <w:szCs w:val="22"/>
              </w:rPr>
            </w:pPr>
            <w:r w:rsidRPr="00441D89">
              <w:t>Ensure</w:t>
            </w:r>
            <w:r w:rsidR="00A94557">
              <w:t xml:space="preserve"> senior staff</w:t>
            </w:r>
            <w:r w:rsidRPr="00441D89">
              <w:t xml:space="preserve"> ha</w:t>
            </w:r>
            <w:r w:rsidR="00780FF2">
              <w:t xml:space="preserve">ve access from remote locations, including </w:t>
            </w:r>
            <w:r w:rsidRPr="00441D89">
              <w:t>home bro</w:t>
            </w:r>
            <w:r w:rsidR="00780FF2">
              <w:t>adband, phone, VPN for security</w:t>
            </w:r>
            <w:r w:rsidRPr="00441D89">
              <w:t xml:space="preserve">. Coordinate with </w:t>
            </w:r>
            <w:r w:rsidR="00801954">
              <w:t xml:space="preserve">the </w:t>
            </w:r>
            <w:bookmarkStart w:id="0" w:name="_GoBack"/>
            <w:bookmarkEnd w:id="0"/>
            <w:r w:rsidR="005B39DB">
              <w:rPr>
                <w:b/>
              </w:rPr>
              <w:t xml:space="preserve">Human </w:t>
            </w:r>
            <w:r w:rsidRPr="00773208">
              <w:rPr>
                <w:b/>
              </w:rPr>
              <w:t xml:space="preserve">Resources Team Leader </w:t>
            </w:r>
            <w:r w:rsidRPr="00441D89">
              <w:t>to en</w:t>
            </w:r>
            <w:r w:rsidR="00780FF2">
              <w:t>sure access is included in working-from-</w:t>
            </w:r>
            <w:r w:rsidRPr="00441D89">
              <w:t>home policies.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9DCCC" w14:textId="77777777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F12BAE" w:rsidRPr="00251EFF" w14:paraId="5318AEC7" w14:textId="77777777" w:rsidTr="00F12BAE">
        <w:trPr>
          <w:trHeight w:val="288"/>
        </w:trPr>
        <w:tc>
          <w:tcPr>
            <w:tcW w:w="8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CDF7F0" w14:textId="67FA5176" w:rsidR="00F12BAE" w:rsidRPr="003701EE" w:rsidRDefault="00F12BAE" w:rsidP="00F12BAE">
            <w:pPr>
              <w:pStyle w:val="chartbody"/>
              <w:rPr>
                <w:szCs w:val="22"/>
              </w:rPr>
            </w:pPr>
            <w:r w:rsidRPr="00441D89">
              <w:t xml:space="preserve">Determine the effectiveness of your data backup and recovery policies and procedures. </w:t>
            </w:r>
            <w:r>
              <w:rPr>
                <w:rFonts w:cs="Times New Roman"/>
                <w:color w:val="000000"/>
              </w:rPr>
              <w:t>Perfo</w:t>
            </w:r>
            <w:r w:rsidR="00780FF2">
              <w:rPr>
                <w:rFonts w:cs="Times New Roman"/>
                <w:color w:val="000000"/>
              </w:rPr>
              <w:t>rm backup at regular intervals, daily, weekly or monthly</w:t>
            </w:r>
            <w:r>
              <w:rPr>
                <w:rFonts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D801E" w14:textId="77777777" w:rsidR="00F12BAE" w:rsidRPr="003701EE" w:rsidRDefault="00F12BAE" w:rsidP="00F12BAE">
            <w:pPr>
              <w:pStyle w:val="chartbody"/>
              <w:rPr>
                <w:szCs w:val="22"/>
              </w:rPr>
            </w:pPr>
          </w:p>
        </w:tc>
      </w:tr>
      <w:tr w:rsidR="0072349E" w:rsidRPr="00251EFF" w14:paraId="66917642" w14:textId="77777777" w:rsidTr="0072349E">
        <w:trPr>
          <w:trHeight w:val="28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C47FEE" w14:textId="0E67EFE5" w:rsidR="0072349E" w:rsidRDefault="0072349E" w:rsidP="00647930">
            <w:pPr>
              <w:pStyle w:val="chartbody"/>
              <w:rPr>
                <w:szCs w:val="22"/>
              </w:rPr>
            </w:pPr>
            <w:r w:rsidRPr="003701EE">
              <w:rPr>
                <w:szCs w:val="22"/>
              </w:rPr>
              <w:t>Notes</w:t>
            </w:r>
          </w:p>
          <w:p w14:paraId="446ACE73" w14:textId="77777777" w:rsidR="003701EE" w:rsidRDefault="003701EE" w:rsidP="00F82374">
            <w:pPr>
              <w:pStyle w:val="chartbody"/>
              <w:spacing w:line="260" w:lineRule="exact"/>
              <w:ind w:firstLine="720"/>
              <w:rPr>
                <w:szCs w:val="22"/>
              </w:rPr>
            </w:pPr>
          </w:p>
          <w:p w14:paraId="1D5A8AB2" w14:textId="77777777" w:rsidR="000E0011" w:rsidRDefault="000E0011" w:rsidP="00F82374">
            <w:pPr>
              <w:pStyle w:val="chartbody"/>
              <w:spacing w:line="260" w:lineRule="exact"/>
              <w:ind w:firstLine="720"/>
              <w:rPr>
                <w:szCs w:val="22"/>
              </w:rPr>
            </w:pPr>
          </w:p>
          <w:p w14:paraId="2E3EB239" w14:textId="77777777" w:rsidR="000E0011" w:rsidRDefault="000E0011" w:rsidP="000E0011">
            <w:pPr>
              <w:pStyle w:val="chartbody"/>
              <w:spacing w:line="260" w:lineRule="exact"/>
              <w:rPr>
                <w:szCs w:val="22"/>
              </w:rPr>
            </w:pPr>
          </w:p>
          <w:p w14:paraId="251D0D3C" w14:textId="493390C4" w:rsidR="00F82374" w:rsidRPr="003701EE" w:rsidRDefault="00F82374" w:rsidP="00647930">
            <w:pPr>
              <w:pStyle w:val="chartbody"/>
              <w:rPr>
                <w:szCs w:val="22"/>
              </w:rPr>
            </w:pPr>
          </w:p>
        </w:tc>
      </w:tr>
    </w:tbl>
    <w:p w14:paraId="465E536B" w14:textId="17B30274" w:rsidR="00DF77EC" w:rsidRPr="00855C5E" w:rsidRDefault="00534F91" w:rsidP="00F82374">
      <w:pPr>
        <w:tabs>
          <w:tab w:val="left" w:pos="3220"/>
          <w:tab w:val="left" w:pos="3700"/>
        </w:tabs>
        <w:spacing w:line="240" w:lineRule="exact"/>
        <w:rPr>
          <w:sz w:val="20"/>
          <w:szCs w:val="20"/>
          <w:lang w:eastAsia="ja-JP"/>
        </w:rPr>
      </w:pPr>
      <w:r w:rsidRPr="000B190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71E5F2" wp14:editId="318F4B88">
                <wp:simplePos x="0" y="0"/>
                <wp:positionH relativeFrom="page">
                  <wp:posOffset>457200</wp:posOffset>
                </wp:positionH>
                <wp:positionV relativeFrom="page">
                  <wp:posOffset>9628505</wp:posOffset>
                </wp:positionV>
                <wp:extent cx="1729105" cy="2082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20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4A068B5" w14:textId="77777777" w:rsidR="005C22AC" w:rsidRPr="006622C1" w:rsidRDefault="005C22AC" w:rsidP="00534F91">
                            <w:pPr>
                              <w:pStyle w:val="BalloonText"/>
                              <w:tabs>
                                <w:tab w:val="left" w:pos="3920"/>
                              </w:tabs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622C1"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ja-JP"/>
                              </w:rPr>
                              <w:t>rprise Community Partners, Inc.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1E5F2" id="Text Box 6" o:spid="_x0000_s1028" type="#_x0000_t202" style="position:absolute;margin-left:36pt;margin-top:758.15pt;width:136.15pt;height:16.4pt;z-index:25168588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" filled="f" stroked="f">
                <v:textbox style="mso-fit-shape-to-text:t" inset="0">
                  <w:txbxContent>
                    <w:p w14:paraId="14A068B5" w14:textId="77777777" w:rsidR="005C22AC" w:rsidRPr="006622C1" w:rsidRDefault="005C22AC" w:rsidP="00534F91">
                      <w:pPr>
                        <w:pStyle w:val="BalloonText"/>
                        <w:tabs>
                          <w:tab w:val="left" w:pos="3920"/>
                        </w:tabs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622C1"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eastAsia="ja-JP"/>
                        </w:rPr>
                        <w:t>rprise Community Partners,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1730" w:rsidRPr="00C3485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404CB6" wp14:editId="61F900AD">
                <wp:simplePos x="0" y="0"/>
                <wp:positionH relativeFrom="page">
                  <wp:posOffset>457200</wp:posOffset>
                </wp:positionH>
                <wp:positionV relativeFrom="page">
                  <wp:posOffset>9601200</wp:posOffset>
                </wp:positionV>
                <wp:extent cx="68580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36D838" id="Straight Connector 3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6pt,756pt" to="8in,7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" strokecolor="#66a236 [3207]" strokeweight="1pt">
                <w10:wrap anchorx="page" anchory="page"/>
              </v:line>
            </w:pict>
          </mc:Fallback>
        </mc:AlternateContent>
      </w:r>
    </w:p>
    <w:sectPr w:rsidR="00DF77EC" w:rsidRPr="00855C5E" w:rsidSect="001A3209">
      <w:headerReference w:type="default" r:id="rId8"/>
      <w:pgSz w:w="12240" w:h="15840"/>
      <w:pgMar w:top="1656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A81FAA" w14:textId="77777777" w:rsidR="0035710D" w:rsidRDefault="0035710D" w:rsidP="009D2482">
      <w:r>
        <w:separator/>
      </w:r>
    </w:p>
  </w:endnote>
  <w:endnote w:type="continuationSeparator" w:id="0">
    <w:p w14:paraId="294B2882" w14:textId="77777777" w:rsidR="0035710D" w:rsidRDefault="0035710D" w:rsidP="009D2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A7EE" w14:textId="77777777" w:rsidR="0035710D" w:rsidRDefault="0035710D" w:rsidP="009D2482">
      <w:r>
        <w:separator/>
      </w:r>
    </w:p>
  </w:footnote>
  <w:footnote w:type="continuationSeparator" w:id="0">
    <w:p w14:paraId="6D1E3BF2" w14:textId="77777777" w:rsidR="0035710D" w:rsidRDefault="0035710D" w:rsidP="009D2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9FDA6" w14:textId="3E76F0C5" w:rsidR="005C22AC" w:rsidRPr="00794BC0" w:rsidRDefault="005C22AC" w:rsidP="001A3209">
    <w:pPr>
      <w:pStyle w:val="Header"/>
      <w:ind w:left="792"/>
      <w:rPr>
        <w:rStyle w:val="PageNumber"/>
        <w:rFonts w:ascii="Arial" w:hAnsi="Arial" w:cs="Arial"/>
        <w:b/>
        <w:color w:val="66A236" w:themeColor="accent4"/>
        <w:sz w:val="22"/>
        <w:szCs w:val="22"/>
      </w:rPr>
    </w:pPr>
    <w:r w:rsidRPr="00794BC0">
      <w:rPr>
        <w:rFonts w:ascii="Arial" w:hAnsi="Arial" w:cs="Arial"/>
        <w:b/>
        <w:bCs/>
        <w:noProof/>
        <w:color w:val="66A236" w:themeColor="accent4"/>
        <w:sz w:val="22"/>
        <w:szCs w:val="22"/>
      </w:rPr>
      <w:drawing>
        <wp:anchor distT="0" distB="0" distL="114300" distR="114300" simplePos="0" relativeHeight="251659264" behindDoc="0" locked="0" layoutInCell="1" allowOverlap="1" wp14:anchorId="3AD51803" wp14:editId="16CF1465">
          <wp:simplePos x="0" y="0"/>
          <wp:positionH relativeFrom="page">
            <wp:posOffset>393065</wp:posOffset>
          </wp:positionH>
          <wp:positionV relativeFrom="page">
            <wp:posOffset>457200</wp:posOffset>
          </wp:positionV>
          <wp:extent cx="457200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PageNumber"/>
        <w:rFonts w:ascii="Arial" w:hAnsi="Arial" w:cs="Arial"/>
        <w:b/>
        <w:bCs/>
        <w:color w:val="66A236" w:themeColor="accent4"/>
        <w:sz w:val="22"/>
        <w:szCs w:val="22"/>
      </w:rPr>
      <w:t>Vital Records</w:t>
    </w:r>
  </w:p>
  <w:p w14:paraId="60148073" w14:textId="1802885A" w:rsidR="005C22AC" w:rsidRPr="00794BC0" w:rsidRDefault="005C22AC" w:rsidP="001A3209">
    <w:pPr>
      <w:pStyle w:val="Header"/>
      <w:ind w:left="792"/>
      <w:rPr>
        <w:rStyle w:val="PageNumber"/>
        <w:rFonts w:ascii="Arial" w:hAnsi="Arial" w:cs="Arial"/>
        <w:color w:val="66A236" w:themeColor="accent4"/>
        <w:sz w:val="22"/>
        <w:szCs w:val="22"/>
      </w:rPr>
    </w:pP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t>Worksheet</w:t>
    </w:r>
  </w:p>
  <w:p w14:paraId="0D90AFFF" w14:textId="79FACA43" w:rsidR="005C22AC" w:rsidRPr="00794BC0" w:rsidRDefault="005C22AC" w:rsidP="001A3209">
    <w:pPr>
      <w:pStyle w:val="Header"/>
      <w:ind w:left="792"/>
      <w:rPr>
        <w:rStyle w:val="PageNumber"/>
        <w:rFonts w:ascii="Arial" w:hAnsi="Arial" w:cs="Arial"/>
        <w:color w:val="66A236" w:themeColor="accent4"/>
        <w:sz w:val="22"/>
        <w:szCs w:val="22"/>
      </w:rPr>
    </w:pP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t xml:space="preserve">Page </w:t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begin"/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instrText xml:space="preserve">PAGE  </w:instrText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separate"/>
    </w:r>
    <w:r>
      <w:rPr>
        <w:rStyle w:val="PageNumber"/>
        <w:rFonts w:ascii="Arial" w:hAnsi="Arial" w:cs="Arial"/>
        <w:noProof/>
        <w:color w:val="66A236" w:themeColor="accent4"/>
        <w:sz w:val="22"/>
        <w:szCs w:val="22"/>
      </w:rPr>
      <w:t>2</w:t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fldChar w:fldCharType="end"/>
    </w:r>
    <w:r w:rsidRPr="00794BC0">
      <w:rPr>
        <w:rStyle w:val="PageNumber"/>
        <w:rFonts w:ascii="Arial" w:hAnsi="Arial" w:cs="Arial"/>
        <w:color w:val="66A236" w:themeColor="accent4"/>
        <w:sz w:val="22"/>
        <w:szCs w:val="22"/>
      </w:rPr>
      <w:t xml:space="preserve"> of </w:t>
    </w:r>
    <w:r>
      <w:rPr>
        <w:rStyle w:val="PageNumber"/>
        <w:rFonts w:ascii="Arial" w:hAnsi="Arial" w:cs="Arial"/>
        <w:color w:val="66A236" w:themeColor="accent4"/>
        <w:sz w:val="22"/>
        <w:szCs w:val="22"/>
      </w:rPr>
      <w:t>6</w:t>
    </w:r>
  </w:p>
  <w:p w14:paraId="581787EC" w14:textId="77777777" w:rsidR="005C22AC" w:rsidRDefault="005C22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8D"/>
    <w:rsid w:val="00050566"/>
    <w:rsid w:val="0008454F"/>
    <w:rsid w:val="000E0011"/>
    <w:rsid w:val="000E4C9B"/>
    <w:rsid w:val="000F19AE"/>
    <w:rsid w:val="000F2216"/>
    <w:rsid w:val="00130605"/>
    <w:rsid w:val="00151040"/>
    <w:rsid w:val="001650EB"/>
    <w:rsid w:val="00165B97"/>
    <w:rsid w:val="001A3209"/>
    <w:rsid w:val="001B19FE"/>
    <w:rsid w:val="001D0C71"/>
    <w:rsid w:val="0021129C"/>
    <w:rsid w:val="00224883"/>
    <w:rsid w:val="002252A3"/>
    <w:rsid w:val="00251EFF"/>
    <w:rsid w:val="002A756E"/>
    <w:rsid w:val="002E1980"/>
    <w:rsid w:val="003317B3"/>
    <w:rsid w:val="0035710D"/>
    <w:rsid w:val="003603EA"/>
    <w:rsid w:val="003701EE"/>
    <w:rsid w:val="00374D63"/>
    <w:rsid w:val="003B4063"/>
    <w:rsid w:val="003C2BE9"/>
    <w:rsid w:val="003D00F0"/>
    <w:rsid w:val="004145D1"/>
    <w:rsid w:val="00433A7C"/>
    <w:rsid w:val="0044135F"/>
    <w:rsid w:val="0045403E"/>
    <w:rsid w:val="0047182A"/>
    <w:rsid w:val="004D0BFF"/>
    <w:rsid w:val="004E0A8F"/>
    <w:rsid w:val="004E5955"/>
    <w:rsid w:val="00507274"/>
    <w:rsid w:val="00514F3A"/>
    <w:rsid w:val="00525A4F"/>
    <w:rsid w:val="00534F91"/>
    <w:rsid w:val="00542964"/>
    <w:rsid w:val="005A0BDE"/>
    <w:rsid w:val="005B39DB"/>
    <w:rsid w:val="005C22AC"/>
    <w:rsid w:val="005F365E"/>
    <w:rsid w:val="0063385C"/>
    <w:rsid w:val="00647930"/>
    <w:rsid w:val="006817AE"/>
    <w:rsid w:val="006A3587"/>
    <w:rsid w:val="006A4B4C"/>
    <w:rsid w:val="006C31A2"/>
    <w:rsid w:val="006D1EE0"/>
    <w:rsid w:val="006E6C3D"/>
    <w:rsid w:val="007001C2"/>
    <w:rsid w:val="0072349E"/>
    <w:rsid w:val="0073040B"/>
    <w:rsid w:val="0074309F"/>
    <w:rsid w:val="007469D6"/>
    <w:rsid w:val="00757440"/>
    <w:rsid w:val="00763854"/>
    <w:rsid w:val="00780FF2"/>
    <w:rsid w:val="00787904"/>
    <w:rsid w:val="007937D5"/>
    <w:rsid w:val="00794BC0"/>
    <w:rsid w:val="007C6BA5"/>
    <w:rsid w:val="00801954"/>
    <w:rsid w:val="008333DC"/>
    <w:rsid w:val="00855C5E"/>
    <w:rsid w:val="00891C20"/>
    <w:rsid w:val="00897F4C"/>
    <w:rsid w:val="008A214F"/>
    <w:rsid w:val="008F15A6"/>
    <w:rsid w:val="0092570D"/>
    <w:rsid w:val="00982DD1"/>
    <w:rsid w:val="009D2482"/>
    <w:rsid w:val="00A1788A"/>
    <w:rsid w:val="00A251EE"/>
    <w:rsid w:val="00A32B5F"/>
    <w:rsid w:val="00A418CF"/>
    <w:rsid w:val="00A94557"/>
    <w:rsid w:val="00AA08D1"/>
    <w:rsid w:val="00AC35CA"/>
    <w:rsid w:val="00AE58E9"/>
    <w:rsid w:val="00B4147B"/>
    <w:rsid w:val="00BA6B2B"/>
    <w:rsid w:val="00BB70FF"/>
    <w:rsid w:val="00BF60E0"/>
    <w:rsid w:val="00C37896"/>
    <w:rsid w:val="00C70816"/>
    <w:rsid w:val="00C96F98"/>
    <w:rsid w:val="00CA1730"/>
    <w:rsid w:val="00CD673F"/>
    <w:rsid w:val="00CF3BCC"/>
    <w:rsid w:val="00D013B1"/>
    <w:rsid w:val="00D37BAA"/>
    <w:rsid w:val="00D41CFF"/>
    <w:rsid w:val="00D90C65"/>
    <w:rsid w:val="00D97D6A"/>
    <w:rsid w:val="00DB4570"/>
    <w:rsid w:val="00DF498D"/>
    <w:rsid w:val="00DF77EC"/>
    <w:rsid w:val="00E05FA9"/>
    <w:rsid w:val="00E10A2F"/>
    <w:rsid w:val="00E5391F"/>
    <w:rsid w:val="00E77EF1"/>
    <w:rsid w:val="00EF6A98"/>
    <w:rsid w:val="00F05B68"/>
    <w:rsid w:val="00F12BAE"/>
    <w:rsid w:val="00F24774"/>
    <w:rsid w:val="00F37CA9"/>
    <w:rsid w:val="00F7149B"/>
    <w:rsid w:val="00F82374"/>
    <w:rsid w:val="00F93658"/>
    <w:rsid w:val="00FD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53EB3A2"/>
  <w14:defaultImageDpi w14:val="300"/>
  <w15:docId w15:val="{06BE0FB8-9982-4061-88C7-C3F278F5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16ED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F498D"/>
    <w:rPr>
      <w:sz w:val="16"/>
      <w:szCs w:val="16"/>
    </w:rPr>
  </w:style>
  <w:style w:type="paragraph" w:customStyle="1" w:styleId="BIGHEAD">
    <w:name w:val="BIG HEAD"/>
    <w:basedOn w:val="Normal"/>
    <w:qFormat/>
    <w:rsid w:val="00DF498D"/>
    <w:pPr>
      <w:spacing w:line="760" w:lineRule="exact"/>
      <w:ind w:left="1526"/>
      <w:outlineLvl w:val="0"/>
    </w:pPr>
    <w:rPr>
      <w:rFonts w:ascii="Arial" w:hAnsi="Arial"/>
      <w:b/>
      <w:bCs/>
      <w:sz w:val="72"/>
      <w:szCs w:val="72"/>
    </w:rPr>
  </w:style>
  <w:style w:type="table" w:styleId="TableGrid">
    <w:name w:val="Table Grid"/>
    <w:basedOn w:val="TableNormal"/>
    <w:rsid w:val="006A4B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qFormat/>
    <w:rsid w:val="00DF498D"/>
    <w:pPr>
      <w:spacing w:line="320" w:lineRule="exact"/>
    </w:pPr>
    <w:rPr>
      <w:rFonts w:ascii="Arial" w:hAnsi="Arial"/>
      <w:sz w:val="26"/>
      <w:szCs w:val="26"/>
    </w:rPr>
  </w:style>
  <w:style w:type="paragraph" w:customStyle="1" w:styleId="chartbody">
    <w:name w:val="chart body"/>
    <w:basedOn w:val="Normal"/>
    <w:qFormat/>
    <w:rsid w:val="006A4B4C"/>
    <w:pPr>
      <w:spacing w:before="120" w:after="120" w:line="280" w:lineRule="exact"/>
    </w:pPr>
    <w:rPr>
      <w:rFonts w:ascii="Arial" w:eastAsia="Times New Roman" w:hAnsi="Arial"/>
      <w:sz w:val="22"/>
    </w:rPr>
  </w:style>
  <w:style w:type="paragraph" w:customStyle="1" w:styleId="chartbold-little">
    <w:name w:val="chart bold-little"/>
    <w:basedOn w:val="Normal"/>
    <w:qFormat/>
    <w:rsid w:val="006A4B4C"/>
    <w:pPr>
      <w:spacing w:before="120" w:after="120"/>
    </w:pPr>
    <w:rPr>
      <w:rFonts w:ascii="Arial" w:eastAsia="Times New Roman" w:hAnsi="Arial"/>
      <w:b/>
      <w:bCs/>
      <w:color w:val="FFFFFF" w:themeColor="background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48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24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482"/>
    <w:rPr>
      <w:sz w:val="24"/>
      <w:szCs w:val="24"/>
      <w:lang w:eastAsia="en-US"/>
    </w:rPr>
  </w:style>
  <w:style w:type="paragraph" w:customStyle="1" w:styleId="NoParagraphStyle">
    <w:name w:val="[No Paragraph Style]"/>
    <w:rsid w:val="00E05F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87904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A3209"/>
  </w:style>
  <w:style w:type="character" w:customStyle="1" w:styleId="BalloonTextChar">
    <w:name w:val="Balloon Text Char"/>
    <w:basedOn w:val="DefaultParagraphFont"/>
    <w:link w:val="BalloonText"/>
    <w:semiHidden/>
    <w:rsid w:val="00534F91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7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nterprise_color3">
  <a:themeElements>
    <a:clrScheme name="Custom 2">
      <a:dk1>
        <a:sysClr val="windowText" lastClr="000000"/>
      </a:dk1>
      <a:lt1>
        <a:sysClr val="window" lastClr="FFFFFF"/>
      </a:lt1>
      <a:dk2>
        <a:srgbClr val="FFFFFF"/>
      </a:dk2>
      <a:lt2>
        <a:srgbClr val="FFFFFF"/>
      </a:lt2>
      <a:accent1>
        <a:srgbClr val="006DB0"/>
      </a:accent1>
      <a:accent2>
        <a:srgbClr val="ED1C24"/>
      </a:accent2>
      <a:accent3>
        <a:srgbClr val="F68B1F"/>
      </a:accent3>
      <a:accent4>
        <a:srgbClr val="66A236"/>
      </a:accent4>
      <a:accent5>
        <a:srgbClr val="934C93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DB0808A580364D81CAF0EAE025383C" ma:contentTypeVersion="10" ma:contentTypeDescription="Create a new document." ma:contentTypeScope="" ma:versionID="26cf085b68f438b593d8486af75fdac9">
  <xsd:schema xmlns:xsd="http://www.w3.org/2001/XMLSchema" xmlns:xs="http://www.w3.org/2001/XMLSchema" xmlns:p="http://schemas.microsoft.com/office/2006/metadata/properties" xmlns:ns1="http://schemas.microsoft.com/sharepoint/v3" xmlns:ns2="af70433f-7abf-4777-9291-f9ffbaf08cf9" xmlns:ns3="5d1015f4-1952-4371-8fdd-7897550a3103" targetNamespace="http://schemas.microsoft.com/office/2006/metadata/properties" ma:root="true" ma:fieldsID="be6922fcba8c3bfba752f34c5ab3884a" ns1:_="" ns2:_="" ns3:_="">
    <xsd:import namespace="http://schemas.microsoft.com/sharepoint/v3"/>
    <xsd:import namespace="af70433f-7abf-4777-9291-f9ffbaf08cf9"/>
    <xsd:import namespace="5d1015f4-1952-4371-8fdd-7897550a31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0433f-7abf-4777-9291-f9ffbaf08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015f4-1952-4371-8fdd-7897550a310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2586C-2734-47B7-867C-F80D95B9C16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A02AD5-2F97-4949-A15A-44104D8C0FF3}"/>
</file>

<file path=customXml/itemProps3.xml><?xml version="1.0" encoding="utf-8"?>
<ds:datastoreItem xmlns:ds="http://schemas.openxmlformats.org/officeDocument/2006/customXml" ds:itemID="{7EC3584F-F035-4335-9576-9C0CF58FA8B7}"/>
</file>

<file path=customXml/itemProps4.xml><?xml version="1.0" encoding="utf-8"?>
<ds:datastoreItem xmlns:ds="http://schemas.openxmlformats.org/officeDocument/2006/customXml" ds:itemID="{A079AAF3-DD7C-430B-B0C0-F53C6C773E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</dc:creator>
  <cp:keywords/>
  <dc:description/>
  <cp:lastModifiedBy>Garcia, Teresa *Intern</cp:lastModifiedBy>
  <cp:revision>3</cp:revision>
  <cp:lastPrinted>2015-05-05T16:23:00Z</cp:lastPrinted>
  <dcterms:created xsi:type="dcterms:W3CDTF">2015-06-05T17:51:00Z</dcterms:created>
  <dcterms:modified xsi:type="dcterms:W3CDTF">2015-06-05T17:51:00Z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0x010100C5DB0808A580364D81CAF0EAE025383C</vt:lpwstr>
  </property>
</Properties>
</file>